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 xml:space="preserve">Студијски програм: </w:t>
            </w:r>
            <w:r w:rsidRPr="009B6775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 xml:space="preserve">Назив предмета: </w:t>
            </w:r>
            <w:r w:rsidRPr="009B6775">
              <w:rPr>
                <w:bCs/>
                <w:lang w:val="sr-Cyrl-RS"/>
              </w:rPr>
              <w:t>Савремене социолошке теорије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Наставник:</w:t>
            </w:r>
            <w:r w:rsidRPr="009B6775">
              <w:rPr>
                <w:b/>
                <w:bCs/>
                <w:lang w:val="en-US"/>
              </w:rPr>
              <w:t xml:space="preserve"> </w:t>
            </w:r>
            <w:r w:rsidRPr="009B6775">
              <w:rPr>
                <w:bCs/>
                <w:lang w:val="sr-Cyrl-RS"/>
              </w:rPr>
              <w:t>Милош М. Јовановић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Статус предмета:</w:t>
            </w:r>
            <w:r w:rsidRPr="009B6775">
              <w:rPr>
                <w:bCs/>
                <w:lang w:val="sr-Cyrl-RS"/>
              </w:rPr>
              <w:t xml:space="preserve"> обавезни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 xml:space="preserve">Број ЕСПБ: </w:t>
            </w:r>
            <w:r w:rsidRPr="009B6775">
              <w:rPr>
                <w:bCs/>
                <w:lang w:val="sr-Cyrl-RS"/>
              </w:rPr>
              <w:t>6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9B6775">
              <w:rPr>
                <w:b/>
                <w:bCs/>
                <w:lang w:val="sr-Cyrl-RS"/>
              </w:rPr>
              <w:t xml:space="preserve">Услов: </w:t>
            </w:r>
            <w:r w:rsidRPr="009B6775">
              <w:t xml:space="preserve"> </w:t>
            </w:r>
            <w:r w:rsidRPr="009B6775">
              <w:rPr>
                <w:lang w:val="sr-Latn-RS"/>
              </w:rPr>
              <w:t>/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60" w:after="60"/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Циљ предмета</w:t>
            </w:r>
          </w:p>
          <w:p w:rsidR="003A1594" w:rsidRPr="009B6775" w:rsidRDefault="005D22DE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Оспособљавање студената за разумевање, критичко поређење и примену кључних праваца савремене социолошке теорије, као и за разумевање логичко-епистемолошких претпоставки социолошког објашњења. Кроз проучавање одабраних теоријских традиција и аутора студенти се уводе у основне појмове, моделе објашњења и домете савремених социолошких теорија, у њихов однос према емпиријском истраживању, као и у разликовање научно утемељених теоријских исказа од нормативних, идеолошких и псеудонаучних интерпретација друштвених појава. Циљ предмета је и развијање способности да се теоријски појмови примене у анализи конкретних друштвених феномена и да се формулишу једноставне теоријски утемељене хипотезе.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60" w:after="60"/>
              <w:jc w:val="both"/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Исход предмета</w:t>
            </w:r>
            <w:r w:rsidRPr="009B6775">
              <w:rPr>
                <w:bCs/>
                <w:i/>
                <w:lang w:val="sr-Cyrl-RS"/>
              </w:rPr>
              <w:t xml:space="preserve">   По завршетку курса студенти ће бити у стању да: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објасне место и функције социолошке теорије у систему социолошког знања, као и однос између појмова, теоријских исказа, хипотеза и емпиријског истраживања;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разликују основне типове социолошког објашњења и критеријуме научности социолошких теорија, уз разумевање односа између индукције, дедукције, верификације и оповргавања;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упореде кључне претпоставке, појмове и објашњавачке домете следећих приступа: функционалистичких, конфликтних, теорије размене, теорије рационалног избора, критичких и интерпретативних;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тумаче централне појмове одабраних аутора и приступа, као што су манифестне и латентне функције, теорије средњег обима, друштвена размена, моћ и зависност, рационални избор, културна индустрија, хабитус, поље, симболичка моћ и симболичко насиље;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примене појмовно-аналитички апарат савремених социолошких теорија на тумачење конкретних друштвених појава, процеса и проблема;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ind w:left="196" w:hanging="196"/>
              <w:jc w:val="both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критички процене сазнајне домете и ограничења појединих теоријских приступа с обзиром на њихове епистемолошке претпоставке и емпиријску употребљивост;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6"/>
              </w:numPr>
              <w:tabs>
                <w:tab w:val="left" w:pos="196"/>
              </w:tabs>
              <w:spacing w:after="60"/>
              <w:ind w:left="196" w:hanging="196"/>
              <w:jc w:val="both"/>
              <w:rPr>
                <w:b/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формулишу једноставне теоријски утемељене хипотезе и аргументовано их повежу са релевантним социолошким појмовима и примерима.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60" w:after="60"/>
              <w:jc w:val="both"/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Садржај предмета</w:t>
            </w:r>
          </w:p>
          <w:p w:rsidR="003A1594" w:rsidRPr="009B6775" w:rsidRDefault="005D22DE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9B6775">
              <w:rPr>
                <w:i/>
                <w:iCs/>
                <w:lang w:val="sr-Cyrl-RS"/>
              </w:rPr>
              <w:t>Теоријска настава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Појам, предмет, нивои и функције социолошке теорије; велике теорије, теорије средњег обима и концептуални оквири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Логичка структура социолошке теорије: појмови, судови, концептуална анализа, хипотезе и однос теорије и истраживања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Врсте објашњења у социологији; индукција, дедукција и хипотетичко-дедуктивни поступак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Научност теорије у социологији: верификација, оповргавање и проблем разграничења науке и псеудонауке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Структурни функционализам: Парсонс, Мертон, манифестне и латентне функције, дисфункције и теорије средњег обима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Теорије друштвеног сукоба: Дарендорф и Козер; интегративне и трансформативне функције сукоба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Теорија размене: Хоманс и Блау; настанак друштвене структуре из интерперсоналне размене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Моћ, зависност и рационални избор: Емерсон и Колман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Симболички интеракционизам: Блумер, Бекер и Гофман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Феноменолошка социологија и етнометодологија: Шиц, Бергер, Лукман и Гарфинкел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Неомарксистичке и критичке теорије: Франкфуртска школа, културна индустрија и друштвена критика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Конструктивистичке и постструктуралистичке перспективе: моћ, знање и дискурс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Пјер Бурдије: хабитус, поље, капитал, симболичке борбе и симболичко насиље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Бурдијеовска класна анализа</w:t>
            </w:r>
          </w:p>
          <w:p w:rsidR="003A1594" w:rsidRPr="009B6775" w:rsidRDefault="005D22DE">
            <w:pPr>
              <w:pStyle w:val="ListParagraph"/>
              <w:numPr>
                <w:ilvl w:val="0"/>
                <w:numId w:val="7"/>
              </w:numPr>
              <w:tabs>
                <w:tab w:val="left" w:pos="196"/>
              </w:tabs>
              <w:ind w:hanging="666"/>
              <w:jc w:val="both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Савремени теоријски спорови и синтеза: микро и макро, поредак и сукоб, структура и делање</w:t>
            </w:r>
          </w:p>
          <w:p w:rsidR="003A1594" w:rsidRPr="009B6775" w:rsidRDefault="005D22DE">
            <w:pPr>
              <w:tabs>
                <w:tab w:val="left" w:pos="567"/>
              </w:tabs>
              <w:spacing w:before="120" w:after="120"/>
              <w:jc w:val="both"/>
              <w:rPr>
                <w:iCs/>
                <w:lang w:val="sr-Cyrl-RS"/>
              </w:rPr>
            </w:pPr>
            <w:r w:rsidRPr="009B6775">
              <w:rPr>
                <w:i/>
                <w:iCs/>
                <w:lang w:val="sr-Cyrl-RS"/>
              </w:rPr>
              <w:t xml:space="preserve">Практична настава: </w:t>
            </w:r>
            <w:r w:rsidRPr="009B6775">
              <w:t>Вежбе (</w:t>
            </w:r>
            <w:r w:rsidRPr="009B6775">
              <w:rPr>
                <w:lang w:val="sr-Cyrl-RS"/>
              </w:rPr>
              <w:t xml:space="preserve">презентације, </w:t>
            </w:r>
            <w:r w:rsidRPr="009B6775">
              <w:t>анализа текстова</w:t>
            </w:r>
            <w:r w:rsidRPr="009B6775">
              <w:rPr>
                <w:lang w:val="sr-Cyrl-RS"/>
              </w:rPr>
              <w:t xml:space="preserve"> и аудио-видео материјала, дискусије)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before="60" w:after="60"/>
              <w:rPr>
                <w:b/>
                <w:bCs/>
                <w:sz w:val="18"/>
                <w:szCs w:val="18"/>
                <w:lang w:val="sr-Cyrl-RS"/>
              </w:rPr>
            </w:pPr>
            <w:bookmarkStart w:id="0" w:name="_GoBack" w:colFirst="0" w:colLast="0"/>
            <w:r w:rsidRPr="009B6775">
              <w:rPr>
                <w:b/>
                <w:bCs/>
                <w:sz w:val="18"/>
                <w:szCs w:val="18"/>
                <w:lang w:val="sr-Cyrl-RS"/>
              </w:rPr>
              <w:t>Литература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(укупно 3</w:t>
            </w:r>
            <w:r w:rsidRPr="009B6775">
              <w:rPr>
                <w:bCs/>
                <w:sz w:val="18"/>
                <w:szCs w:val="18"/>
                <w:lang w:val="en-US"/>
              </w:rPr>
              <w:t>2</w:t>
            </w:r>
            <w:r w:rsidRPr="009B6775">
              <w:rPr>
                <w:bCs/>
                <w:sz w:val="18"/>
                <w:szCs w:val="18"/>
                <w:lang w:val="sr-Cyrl-RS"/>
              </w:rPr>
              <w:t>7 страница)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lastRenderedPageBreak/>
              <w:t xml:space="preserve">Џорџ Рицер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· Савремена социолошка теорија и њени класични корени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(Београд: Службени гласник, 2009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, </w:t>
            </w:r>
            <w:r w:rsidRPr="009B6775">
              <w:rPr>
                <w:bCs/>
                <w:sz w:val="18"/>
                <w:szCs w:val="18"/>
                <w:lang w:val="sr-Cyrl-RS"/>
              </w:rPr>
              <w:t>стр. 174-185, 251-258, 263-270, 278-291.)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Latn-RS"/>
              </w:rPr>
              <w:t xml:space="preserve">George Ritzer · </w:t>
            </w:r>
            <w:r w:rsidRPr="009B6775">
              <w:rPr>
                <w:bCs/>
                <w:i/>
                <w:sz w:val="18"/>
                <w:szCs w:val="18"/>
                <w:lang w:val="sr-Latn-RS"/>
              </w:rPr>
              <w:t>Suvremena sociologijska teorija</w:t>
            </w:r>
            <w:r w:rsidRPr="009B6775">
              <w:rPr>
                <w:bCs/>
                <w:sz w:val="18"/>
                <w:szCs w:val="18"/>
                <w:lang w:val="sr-Latn-RS"/>
              </w:rPr>
              <w:t xml:space="preserve"> (Zagreb: Nakladni zavod Globus, 1997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, </w:t>
            </w:r>
            <w:r w:rsidRPr="009B6775">
              <w:rPr>
                <w:bCs/>
                <w:sz w:val="18"/>
                <w:szCs w:val="18"/>
                <w:lang w:val="en-US"/>
              </w:rPr>
              <w:t>str. 285-289</w:t>
            </w:r>
            <w:r w:rsidRPr="009B6775">
              <w:rPr>
                <w:bCs/>
                <w:sz w:val="18"/>
                <w:szCs w:val="18"/>
                <w:lang w:val="sr-Cyrl-RS"/>
              </w:rPr>
              <w:t>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Карл Попер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Претпоставке и побијања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(Сремски Карловци; Нови Сад: Издавачка књижарница Зорана Стојановића, 2002, стр. 77-111, 477-491.)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Ралф Дарендорф · </w:t>
            </w:r>
            <w:r w:rsidRPr="009B6775">
              <w:rPr>
                <w:bCs/>
                <w:i/>
                <w:sz w:val="18"/>
                <w:szCs w:val="18"/>
                <w:lang w:val="sr-Latn-RS"/>
              </w:rPr>
              <w:t>Homo sociologicus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(Ниш: Градина, 1989, стр. 111-139.)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Луис Козер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Функције друштвеног сукоба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(Нови Сад: </w:t>
            </w:r>
            <w:r w:rsidRPr="009B6775">
              <w:rPr>
                <w:bCs/>
                <w:sz w:val="18"/>
                <w:szCs w:val="18"/>
                <w:lang w:val="sr-Latn-RS"/>
              </w:rPr>
              <w:t>M</w:t>
            </w:r>
            <w:r w:rsidRPr="009B6775">
              <w:rPr>
                <w:bCs/>
                <w:sz w:val="18"/>
                <w:szCs w:val="18"/>
                <w:lang w:val="sr-Cyrl-RS"/>
              </w:rPr>
              <w:t>editerran</w:t>
            </w:r>
            <w:r w:rsidRPr="009B6775">
              <w:rPr>
                <w:bCs/>
                <w:sz w:val="18"/>
                <w:szCs w:val="18"/>
                <w:lang w:val="sr-Latn-RS"/>
              </w:rPr>
              <w:t xml:space="preserve"> Publishing, 2007</w:t>
            </w:r>
            <w:r w:rsidRPr="009B6775">
              <w:rPr>
                <w:bCs/>
                <w:sz w:val="18"/>
                <w:szCs w:val="18"/>
                <w:lang w:val="sr-Cyrl-RS"/>
              </w:rPr>
              <w:t>, стр. 115-142, 159-179.)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Роберт Мертон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О теоријској социологији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(Београд: Плато, 1998, стр. 148, 160-186)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Роберт К. Мертон „Аномија и друштвена структура“ ( Иван Кувачић (прир.)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Функционализам у социологији</w:t>
            </w:r>
            <w:r w:rsidRPr="009B6775">
              <w:rPr>
                <w:bCs/>
                <w:sz w:val="18"/>
                <w:szCs w:val="18"/>
                <w:lang w:val="en-US"/>
              </w:rPr>
              <w:t>, Загреб: Напријед, 1990, стр. 327-336.)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Ивана Спасић (прир.)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Интерпретативна социологија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(Београд: Завод за уџбенике и наставна средства, 1998.)</w:t>
            </w:r>
            <w:r w:rsidRPr="009B6775">
              <w:rPr>
                <w:bCs/>
                <w:sz w:val="18"/>
                <w:szCs w:val="18"/>
                <w:lang w:val="sr-Cyrl-RS"/>
              </w:rPr>
              <w:br/>
              <w:t>Херберт Блумер · „Друштво као симболичка интеракција”, стр. 35-44.</w:t>
            </w:r>
            <w:r w:rsidRPr="009B6775">
              <w:rPr>
                <w:bCs/>
                <w:sz w:val="18"/>
                <w:szCs w:val="18"/>
                <w:lang w:val="sr-Cyrl-RS"/>
              </w:rPr>
              <w:br/>
              <w:t>Харолд Гарфинкел · „Шта је етнометодологија?”, стр. 123-141.</w:t>
            </w:r>
            <w:r w:rsidRPr="009B6775">
              <w:rPr>
                <w:bCs/>
                <w:sz w:val="18"/>
                <w:szCs w:val="18"/>
                <w:lang w:val="sr-Cyrl-RS"/>
              </w:rPr>
              <w:br/>
              <w:t>Пјер Бурдије · „Друштвени простор и симболичка моћ”, стр. 143-158.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>Теодор Адорно и Макс Хоркхајмер · „Културна индустрија” (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Студије културе: зборник</w:t>
            </w:r>
            <w:r w:rsidRPr="009B6775">
              <w:rPr>
                <w:bCs/>
                <w:sz w:val="18"/>
                <w:szCs w:val="18"/>
                <w:lang w:val="sr-Cyrl-RS"/>
              </w:rPr>
              <w:t>, Београд: Службени гласник, 2012, стр. 66-99.)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Ивица Младеновић, Зона Зарић и Милан Урошевић (ур.)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Пјер Бурдије: радикална мисао и praxis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(Београд: Институт за филозофију и друштвену теорију, Универзитет у Београду, 2023.)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2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>Предраг Цветичанин · „Бурдијеова теоретизација капитала и класа”, стр. 103-129.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2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>Милица Ресановић · „Бурдијеова теоретизација друштвених поља”, стр. 66-84.</w:t>
            </w:r>
          </w:p>
          <w:p w:rsidR="003A1594" w:rsidRPr="009B6775" w:rsidRDefault="003A1594">
            <w:pPr>
              <w:tabs>
                <w:tab w:val="left" w:pos="567"/>
              </w:tabs>
              <w:ind w:left="340" w:hanging="2"/>
              <w:rPr>
                <w:bCs/>
                <w:sz w:val="18"/>
                <w:szCs w:val="18"/>
                <w:lang w:val="sr-Cyrl-RS"/>
              </w:rPr>
            </w:pPr>
          </w:p>
          <w:p w:rsidR="003A1594" w:rsidRPr="009B6775" w:rsidRDefault="00BF01B5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pict>
                <v:rect id="_x0000_i1025" style="width:544.35pt;height:1.5pt" o:hralign="center" o:hrstd="t" o:hr="t" fillcolor="gray" stroked="f"/>
              </w:pict>
            </w:r>
          </w:p>
          <w:p w:rsidR="003A1594" w:rsidRPr="009B6775" w:rsidRDefault="003A1594">
            <w:pPr>
              <w:tabs>
                <w:tab w:val="left" w:pos="567"/>
              </w:tabs>
              <w:ind w:left="340" w:hanging="340"/>
              <w:rPr>
                <w:bCs/>
                <w:i/>
                <w:sz w:val="18"/>
                <w:szCs w:val="18"/>
                <w:lang w:val="sr-Cyrl-RS"/>
              </w:rPr>
            </w:pPr>
          </w:p>
          <w:p w:rsidR="003A1594" w:rsidRPr="009B6775" w:rsidRDefault="005D22DE">
            <w:pPr>
              <w:tabs>
                <w:tab w:val="left" w:pos="567"/>
              </w:tabs>
              <w:spacing w:after="120"/>
              <w:ind w:left="340" w:hanging="340"/>
              <w:rPr>
                <w:b/>
                <w:bCs/>
                <w:sz w:val="18"/>
                <w:szCs w:val="18"/>
                <w:lang w:val="sr-Cyrl-RS"/>
              </w:rPr>
            </w:pPr>
            <w:r w:rsidRPr="009B6775">
              <w:rPr>
                <w:b/>
                <w:bCs/>
                <w:sz w:val="18"/>
                <w:szCs w:val="18"/>
                <w:lang w:val="sr-Cyrl-RS"/>
              </w:rPr>
              <w:t>Додатна литература: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>Мишел Лалман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Историја социолошких идеја</w:t>
            </w:r>
            <w:r w:rsidRPr="009B6775">
              <w:rPr>
                <w:bCs/>
                <w:i/>
                <w:sz w:val="18"/>
                <w:szCs w:val="18"/>
                <w:lang w:val="sr-Latn-RS"/>
              </w:rPr>
              <w:t>.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 xml:space="preserve"> Том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II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 xml:space="preserve"> –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O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 xml:space="preserve">д Парсонса до савремених социолога </w:t>
            </w:r>
            <w:r w:rsidRPr="009B6775">
              <w:rPr>
                <w:bCs/>
                <w:sz w:val="18"/>
                <w:szCs w:val="18"/>
                <w:lang w:val="sr-Cyrl-RS"/>
              </w:rPr>
              <w:t>(Београд: Завод за уџбенике, 2004.)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>Ентони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Гиденс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Последице модерности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en-US"/>
              </w:rPr>
              <w:t>(</w:t>
            </w:r>
            <w:r w:rsidRPr="009B6775">
              <w:rPr>
                <w:bCs/>
                <w:sz w:val="18"/>
                <w:szCs w:val="18"/>
                <w:lang w:val="sr-Cyrl-RS"/>
              </w:rPr>
              <w:t>Београд: Филип Вишњић</w:t>
            </w:r>
            <w:r w:rsidRPr="009B6775">
              <w:rPr>
                <w:bCs/>
                <w:sz w:val="18"/>
                <w:szCs w:val="18"/>
                <w:lang w:val="en-US"/>
              </w:rPr>
              <w:t>, 1998.)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Улрих </w:t>
            </w:r>
            <w:r w:rsidRPr="009B6775">
              <w:rPr>
                <w:bCs/>
                <w:sz w:val="18"/>
                <w:szCs w:val="18"/>
                <w:lang w:val="sr-Cyrl-RS"/>
              </w:rPr>
              <w:t>Бек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·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Ризично друштво: У сусрет новој модерни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en-US"/>
              </w:rPr>
              <w:t>(</w:t>
            </w:r>
            <w:r w:rsidRPr="009B6775">
              <w:rPr>
                <w:bCs/>
                <w:sz w:val="18"/>
                <w:szCs w:val="18"/>
                <w:lang w:val="sr-Cyrl-RS"/>
              </w:rPr>
              <w:t>Београд: Филип Вишњић</w:t>
            </w:r>
            <w:r w:rsidRPr="009B6775">
              <w:rPr>
                <w:bCs/>
                <w:sz w:val="18"/>
                <w:szCs w:val="18"/>
                <w:lang w:val="en-US"/>
              </w:rPr>
              <w:t>, 2001.)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Пјер Бурдије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Истицање разлике: друштвена критика моћи суђења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(Лозница: Карпос, 2023.)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Пјер Бурдије </w:t>
            </w:r>
            <w:r w:rsidRPr="009B6775">
              <w:rPr>
                <w:bCs/>
                <w:sz w:val="18"/>
                <w:szCs w:val="18"/>
                <w:lang w:val="sr-Latn-RS"/>
              </w:rPr>
              <w:t>·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Нaцрт зa jeдну тeoриjу прaксe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sr-Cyrl-RS"/>
              </w:rPr>
              <w:t>(</w:t>
            </w:r>
            <w:r w:rsidRPr="009B6775">
              <w:rPr>
                <w:bCs/>
                <w:sz w:val="18"/>
                <w:szCs w:val="18"/>
                <w:lang w:val="en-US"/>
              </w:rPr>
              <w:t>Бeoгрaд: Зaвoд зa уџбeникe и нaстaвнa срeдствa</w:t>
            </w:r>
            <w:r w:rsidRPr="009B6775">
              <w:rPr>
                <w:bCs/>
                <w:sz w:val="18"/>
                <w:szCs w:val="18"/>
                <w:lang w:val="sr-Cyrl-RS"/>
              </w:rPr>
              <w:t>, 1999.)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Јирген Хабермас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 xml:space="preserve">Теорија комуникативног деловања. 1. Критика функционалистичког ума 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и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2. Рационалност деловања и друштвено рационализовање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(Нови Сад: Академска књига, 2017.)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Гајо Петровић </w:t>
            </w:r>
            <w:r w:rsidRPr="009B6775">
              <w:rPr>
                <w:bCs/>
                <w:sz w:val="18"/>
                <w:szCs w:val="18"/>
                <w:lang w:val="en-US"/>
              </w:rPr>
              <w:t>·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Логика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(Загреб: Школска књига</w:t>
            </w:r>
            <w:r w:rsidRPr="009B6775">
              <w:rPr>
                <w:bCs/>
                <w:sz w:val="18"/>
                <w:szCs w:val="18"/>
                <w:lang w:val="en-US"/>
              </w:rPr>
              <w:t>, 1984.)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George Ritzer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Sociological Theory (8</w:t>
            </w:r>
            <w:r w:rsidRPr="009B6775">
              <w:rPr>
                <w:bCs/>
                <w:i/>
                <w:sz w:val="18"/>
                <w:szCs w:val="18"/>
                <w:vertAlign w:val="superscript"/>
                <w:lang w:val="en-US"/>
              </w:rPr>
              <w:t>th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 xml:space="preserve"> edition)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(New York: McGraw-Hill, 2011)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Jonathan H. Turner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The Structure of Sociological Theory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(Belmont, CA: Wadsworth, 1991)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Anthony Elliott (ed.) 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The Routledge Companion to Social Theory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 (London; New York: Routledge, 2010)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Bryan S. Turner (ed.) 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The New Blackwell Companion to Social Theory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(Wiley-Blackwell: Malden, MA; Oxford, 2009)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Steven Seidman </w:t>
            </w:r>
            <w:r w:rsidRPr="009B6775">
              <w:rPr>
                <w:bCs/>
                <w:sz w:val="18"/>
                <w:szCs w:val="18"/>
                <w:lang w:val="en-US"/>
              </w:rPr>
              <w:t>&amp;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Jeffrey C. Alexander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(eds.)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The New Social Theory Reader: Contemporary Debates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(London; New York: Routledge, 2003)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George Ritzer </w:t>
            </w:r>
            <w:r w:rsidRPr="009B6775">
              <w:rPr>
                <w:bCs/>
                <w:sz w:val="18"/>
                <w:szCs w:val="18"/>
                <w:lang w:val="en-US"/>
              </w:rPr>
              <w:t>&amp;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Barry Smart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(eds.)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Handbook оf Social Theory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sr-Cyrl-RS"/>
              </w:rPr>
              <w:t>(</w:t>
            </w:r>
            <w:r w:rsidRPr="009B6775">
              <w:rPr>
                <w:bCs/>
                <w:sz w:val="18"/>
                <w:szCs w:val="18"/>
                <w:lang w:val="en-US"/>
              </w:rPr>
              <w:t>London: Sage Publications, 2001</w:t>
            </w:r>
            <w:r w:rsidRPr="009B6775">
              <w:rPr>
                <w:bCs/>
                <w:sz w:val="18"/>
                <w:szCs w:val="18"/>
                <w:lang w:val="sr-Cyrl-RS"/>
              </w:rPr>
              <w:t>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George Ritzer (ed.)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The Blackwell Companion to Major Contemporary Social Theorists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(Blackwell: Malden, MA; Oxford, 2003)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Doyle Paul Johnson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Contemporary Sociological Theory: An Integrated Multi-Level Approach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(New York: Springer, 2008)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Steven Seidman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Contested Knowledge: Social Theory in the Postmodern Era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(Oxford : Blackwell, 1996)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Anthony Elliott &amp; Bryan S. Turner (eds.)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 xml:space="preserve">Profiles in Contemporary Social Theory  </w:t>
            </w:r>
            <w:r w:rsidRPr="009B6775">
              <w:rPr>
                <w:bCs/>
                <w:sz w:val="18"/>
                <w:szCs w:val="18"/>
                <w:lang w:val="en-US"/>
              </w:rPr>
              <w:t>(London: Sage Publications, 2001)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John Scott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 xml:space="preserve">Social Theory: Central Issues in Sociology  </w:t>
            </w:r>
            <w:r w:rsidRPr="009B6775">
              <w:rPr>
                <w:bCs/>
                <w:sz w:val="18"/>
                <w:szCs w:val="18"/>
                <w:lang w:val="en-US"/>
              </w:rPr>
              <w:t>(London: Sage Publications, 2006)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Craig Calhoun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 xml:space="preserve">et al. 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(eds.) · </w:t>
            </w:r>
            <w:r w:rsidRPr="009B6775">
              <w:rPr>
                <w:bCs/>
                <w:i/>
                <w:sz w:val="18"/>
                <w:szCs w:val="18"/>
                <w:lang w:val="en-US"/>
              </w:rPr>
              <w:t>Contemporary Sociological Theory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  (Oxford: Blackwell, 2002)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en-US"/>
              </w:rPr>
              <w:t xml:space="preserve">Herbert 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Blumer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Symbolic Interactionism: Perspective and Method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en-US"/>
              </w:rPr>
              <w:t>(</w:t>
            </w:r>
            <w:r w:rsidRPr="009B6775">
              <w:rPr>
                <w:bCs/>
                <w:sz w:val="18"/>
                <w:szCs w:val="18"/>
                <w:lang w:val="sr-Cyrl-RS"/>
              </w:rPr>
              <w:t>Berkeley: University of California Press</w:t>
            </w:r>
            <w:r w:rsidRPr="009B6775">
              <w:rPr>
                <w:bCs/>
                <w:sz w:val="18"/>
                <w:szCs w:val="18"/>
                <w:lang w:val="en-US"/>
              </w:rPr>
              <w:t>, 1969)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Jeffrey C. Alexander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et al.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en-US"/>
              </w:rPr>
              <w:t xml:space="preserve">(eds.)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The Micro-Macro Link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(Berkeley; Los Angeles: University of California Press, 1987)</w:t>
            </w:r>
          </w:p>
          <w:p w:rsidR="003A1594" w:rsidRPr="009B6775" w:rsidRDefault="005D22DE">
            <w:pPr>
              <w:tabs>
                <w:tab w:val="left" w:pos="567"/>
              </w:tabs>
              <w:ind w:left="340" w:hanging="340"/>
              <w:rPr>
                <w:bCs/>
                <w:sz w:val="18"/>
                <w:szCs w:val="18"/>
                <w:lang w:val="sr-Cyrl-R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Jeffrey C. Alexander ·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Twenty Lectures: Sociological Theory Since World War II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(New York: Columbia University Press, 1987)</w:t>
            </w:r>
          </w:p>
          <w:p w:rsidR="003A1594" w:rsidRPr="009B6775" w:rsidRDefault="005D22DE">
            <w:pPr>
              <w:tabs>
                <w:tab w:val="left" w:pos="567"/>
              </w:tabs>
              <w:spacing w:after="60"/>
              <w:ind w:left="338" w:hanging="338"/>
              <w:rPr>
                <w:bCs/>
                <w:sz w:val="18"/>
                <w:szCs w:val="18"/>
                <w:lang w:val="en-US"/>
              </w:rPr>
            </w:pPr>
            <w:r w:rsidRPr="009B6775">
              <w:rPr>
                <w:bCs/>
                <w:sz w:val="18"/>
                <w:szCs w:val="18"/>
                <w:lang w:val="sr-Cyrl-RS"/>
              </w:rPr>
              <w:t xml:space="preserve">Часопис </w:t>
            </w:r>
            <w:r w:rsidRPr="009B6775">
              <w:rPr>
                <w:bCs/>
                <w:i/>
                <w:sz w:val="18"/>
                <w:szCs w:val="18"/>
                <w:lang w:val="sr-Cyrl-RS"/>
              </w:rPr>
              <w:t>Трећи програм</w:t>
            </w:r>
            <w:r w:rsidRPr="009B6775">
              <w:rPr>
                <w:bCs/>
                <w:i/>
                <w:sz w:val="18"/>
                <w:szCs w:val="18"/>
                <w:lang w:val="sr-Latn-RS"/>
              </w:rPr>
              <w:t xml:space="preserve"> </w:t>
            </w:r>
            <w:r w:rsidRPr="009B6775">
              <w:rPr>
                <w:bCs/>
                <w:sz w:val="18"/>
                <w:szCs w:val="18"/>
                <w:lang w:val="sr-Latn-RS"/>
              </w:rPr>
              <w:t>·</w:t>
            </w:r>
            <w:r w:rsidRPr="009B6775">
              <w:rPr>
                <w:bCs/>
                <w:sz w:val="18"/>
                <w:szCs w:val="18"/>
                <w:lang w:val="sr-Cyrl-RS"/>
              </w:rPr>
              <w:t xml:space="preserve"> бр. 146, II/ 2010. „Нове француске социологије”, стр. 9-170.</w:t>
            </w:r>
          </w:p>
          <w:p w:rsidR="003A1594" w:rsidRPr="009B6775" w:rsidRDefault="003A1594">
            <w:pPr>
              <w:tabs>
                <w:tab w:val="left" w:pos="567"/>
              </w:tabs>
              <w:spacing w:after="60"/>
              <w:ind w:left="338" w:hanging="338"/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bookmarkEnd w:id="0"/>
      <w:tr w:rsidR="003A1594" w:rsidRPr="009B6775">
        <w:trPr>
          <w:trHeight w:val="227"/>
          <w:jc w:val="center"/>
        </w:trPr>
        <w:tc>
          <w:tcPr>
            <w:tcW w:w="3146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9B6775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B6775">
              <w:rPr>
                <w:b/>
                <w:lang w:val="sr-Cyrl-RS"/>
              </w:rPr>
              <w:t xml:space="preserve">Теоријска настава: </w:t>
            </w:r>
            <w:r w:rsidRPr="009B6775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B6775">
              <w:rPr>
                <w:b/>
                <w:lang w:val="sr-Cyrl-RS"/>
              </w:rPr>
              <w:t xml:space="preserve">Практична настава: </w:t>
            </w:r>
            <w:r w:rsidRPr="009B6775">
              <w:rPr>
                <w:lang w:val="sr-Cyrl-RS"/>
              </w:rPr>
              <w:t>2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Методе извођења наставе</w:t>
            </w:r>
          </w:p>
          <w:p w:rsidR="003A1594" w:rsidRPr="009B6775" w:rsidRDefault="005D22D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B6775">
              <w:rPr>
                <w:lang w:val="sr-Cyrl-RS"/>
              </w:rPr>
              <w:t xml:space="preserve">Предавања, </w:t>
            </w:r>
            <w:r w:rsidRPr="009B6775">
              <w:rPr>
                <w:i/>
                <w:lang w:val="en-US"/>
              </w:rPr>
              <w:t>PowerPoint</w:t>
            </w:r>
            <w:r w:rsidRPr="009B6775">
              <w:rPr>
                <w:lang w:val="en-US"/>
              </w:rPr>
              <w:t xml:space="preserve"> </w:t>
            </w:r>
            <w:r w:rsidRPr="009B6775">
              <w:rPr>
                <w:lang w:val="sr-Cyrl-RS"/>
              </w:rPr>
              <w:t>презентације, анализа и интерпретација обавезних текстова и аудио-видео материјала, дискусије о темама и питањима из теоријске наставе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B6775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3146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iCs/>
                <w:lang w:val="sr-Cyrl-RS"/>
              </w:rPr>
            </w:pPr>
            <w:r w:rsidRPr="009B6775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9B6775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B6775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A1594" w:rsidRPr="009B6775" w:rsidRDefault="005D22DE">
            <w:pPr>
              <w:tabs>
                <w:tab w:val="left" w:pos="567"/>
              </w:tabs>
              <w:jc w:val="center"/>
              <w:rPr>
                <w:b/>
                <w:bCs/>
                <w:lang w:val="sr-Cyrl-RS"/>
              </w:rPr>
            </w:pPr>
            <w:r w:rsidRPr="009B6775">
              <w:rPr>
                <w:lang w:val="sr-Cyrl-RS"/>
              </w:rPr>
              <w:t>поена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3146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9B6775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9B6775"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A1594" w:rsidRPr="009B6775" w:rsidRDefault="005D22DE">
            <w:pPr>
              <w:tabs>
                <w:tab w:val="left" w:pos="567"/>
              </w:tabs>
              <w:jc w:val="center"/>
              <w:rPr>
                <w:iCs/>
                <w:lang w:val="sr-Cyrl-RS"/>
              </w:rPr>
            </w:pPr>
            <w:r w:rsidRPr="009B6775">
              <w:rPr>
                <w:iCs/>
                <w:lang w:val="sr-Cyrl-RS"/>
              </w:rPr>
              <w:t>50</w:t>
            </w:r>
          </w:p>
        </w:tc>
      </w:tr>
      <w:tr w:rsidR="003A1594" w:rsidRPr="009B6775">
        <w:trPr>
          <w:trHeight w:val="227"/>
          <w:jc w:val="center"/>
        </w:trPr>
        <w:tc>
          <w:tcPr>
            <w:tcW w:w="3146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9B6775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3A1594" w:rsidRPr="009B6775" w:rsidRDefault="005D22DE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 w:rsidRPr="009B6775">
              <w:rPr>
                <w:bCs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A1594" w:rsidRPr="009B6775" w:rsidRDefault="003A1594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3A1594" w:rsidRPr="009B6775" w:rsidRDefault="003A1594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</w:p>
        </w:tc>
      </w:tr>
    </w:tbl>
    <w:p w:rsidR="003A1594" w:rsidRDefault="003A1594">
      <w:pPr>
        <w:jc w:val="center"/>
        <w:rPr>
          <w:bCs/>
          <w:lang w:val="sr-Cyrl-RS"/>
        </w:rPr>
      </w:pPr>
    </w:p>
    <w:sectPr w:rsidR="003A15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B5" w:rsidRDefault="00BF01B5">
      <w:r>
        <w:separator/>
      </w:r>
    </w:p>
  </w:endnote>
  <w:endnote w:type="continuationSeparator" w:id="0">
    <w:p w:rsidR="00BF01B5" w:rsidRDefault="00BF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3A15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5D22DE">
    <w:pPr>
      <w:pStyle w:val="Footer"/>
      <w:jc w:val="center"/>
      <w:rPr>
        <w:lang w:val="sr-Cyrl-RS"/>
      </w:rPr>
    </w:pPr>
    <w:r>
      <w:t>www.filfak.ni.ac.rs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3A15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B5" w:rsidRDefault="00BF01B5">
      <w:r>
        <w:separator/>
      </w:r>
    </w:p>
  </w:footnote>
  <w:footnote w:type="continuationSeparator" w:id="0">
    <w:p w:rsidR="00BF01B5" w:rsidRDefault="00BF0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3A15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3A1594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3A159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3A1594" w:rsidRDefault="005D22DE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3A1594" w:rsidRDefault="005D22DE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3A1594" w:rsidRDefault="005D22DE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3A1594" w:rsidRDefault="005D22DE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1594">
      <w:trPr>
        <w:trHeight w:val="467"/>
        <w:jc w:val="center"/>
      </w:trPr>
      <w:tc>
        <w:tcPr>
          <w:tcW w:w="1515" w:type="dxa"/>
          <w:vMerge/>
        </w:tcPr>
        <w:p w:rsidR="003A1594" w:rsidRDefault="003A1594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3A1594" w:rsidRDefault="005D22DE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3A1594" w:rsidRDefault="003A1594">
          <w:pPr>
            <w:pStyle w:val="Header"/>
            <w:jc w:val="right"/>
            <w:rPr>
              <w:lang w:val="sr-Cyrl-CS"/>
            </w:rPr>
          </w:pPr>
        </w:p>
      </w:tc>
    </w:tr>
    <w:tr w:rsidR="003A1594">
      <w:trPr>
        <w:trHeight w:val="449"/>
        <w:jc w:val="center"/>
      </w:trPr>
      <w:tc>
        <w:tcPr>
          <w:tcW w:w="1515" w:type="dxa"/>
          <w:vMerge/>
        </w:tcPr>
        <w:p w:rsidR="003A1594" w:rsidRDefault="003A1594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3A1594" w:rsidRDefault="005D22DE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3A1594" w:rsidRDefault="003A1594">
          <w:pPr>
            <w:pStyle w:val="Header"/>
            <w:jc w:val="right"/>
            <w:rPr>
              <w:lang w:val="sr-Cyrl-CS"/>
            </w:rPr>
          </w:pPr>
        </w:p>
      </w:tc>
    </w:tr>
  </w:tbl>
  <w:p w:rsidR="003A1594" w:rsidRDefault="003A1594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94" w:rsidRDefault="003A15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1758E9"/>
    <w:multiLevelType w:val="hybridMultilevel"/>
    <w:tmpl w:val="34FAE9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EF60AC"/>
    <w:multiLevelType w:val="hybridMultilevel"/>
    <w:tmpl w:val="1B866284"/>
    <w:lvl w:ilvl="0" w:tplc="C91E38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94"/>
    <w:rsid w:val="003A1594"/>
    <w:rsid w:val="005D22DE"/>
    <w:rsid w:val="009B6775"/>
    <w:rsid w:val="00A66DCA"/>
    <w:rsid w:val="00BF01B5"/>
    <w:rsid w:val="00E774DD"/>
    <w:rsid w:val="00F9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/>
      <w:lang w:val="en-US" w:eastAsia="en-US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/>
      <w:lang w:val="en-US" w:eastAsia="en-US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2026-06-11T01:18:00Z</dcterms:created>
  <dcterms:modified xsi:type="dcterms:W3CDTF">2026-06-22T23:15:00Z</dcterms:modified>
</cp:coreProperties>
</file>